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C9" w:rsidRDefault="0024764B">
      <w:pPr>
        <w:pStyle w:val="Standard"/>
        <w:jc w:val="both"/>
      </w:pPr>
      <w:bookmarkStart w:id="0" w:name="_GoBack"/>
      <w:bookmarkEnd w:id="0"/>
      <w:r>
        <w:rPr>
          <w:rFonts w:ascii="Times New Roman" w:hAnsi="Times New Roman"/>
          <w:sz w:val="22"/>
          <w:szCs w:val="22"/>
        </w:rPr>
        <w:t xml:space="preserve">                                       </w:t>
      </w:r>
      <w:r>
        <w:rPr>
          <w:rFonts w:ascii="Times New Roman" w:hAnsi="Times New Roman"/>
          <w:b/>
          <w:bCs/>
          <w:sz w:val="28"/>
          <w:szCs w:val="28"/>
        </w:rPr>
        <w:t xml:space="preserve"> Неучтенные расходы Крымской конференции.</w:t>
      </w:r>
    </w:p>
    <w:p w:rsidR="004D0AC9" w:rsidRDefault="0024764B">
      <w:pPr>
        <w:pStyle w:val="Standard"/>
        <w:jc w:val="both"/>
        <w:rPr>
          <w:rFonts w:ascii="Times New Roman" w:hAnsi="Times New Roman"/>
          <w:sz w:val="28"/>
          <w:szCs w:val="28"/>
        </w:rPr>
      </w:pPr>
      <w:r>
        <w:rPr>
          <w:rFonts w:ascii="Times New Roman" w:hAnsi="Times New Roman"/>
          <w:sz w:val="28"/>
          <w:szCs w:val="28"/>
        </w:rPr>
        <w:t xml:space="preserve">                                                                                  </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Начиная разговор</w:t>
      </w:r>
      <w:r>
        <w:rPr>
          <w:rFonts w:ascii="Times New Roman" w:hAnsi="Times New Roman"/>
          <w:sz w:val="28"/>
          <w:szCs w:val="28"/>
        </w:rPr>
        <w:t xml:space="preserve"> о расходах Крымской конференции необходимо прежде всего отметить, что сегодня документы открытых источников не позволяют  охарактеризовать это понятие в полной мере, детально и всесторонне. Отдельные виды затрат отражененные, преимущественно, в распорядит</w:t>
      </w:r>
      <w:r>
        <w:rPr>
          <w:rFonts w:ascii="Times New Roman" w:hAnsi="Times New Roman"/>
          <w:sz w:val="28"/>
          <w:szCs w:val="28"/>
        </w:rPr>
        <w:t>ельных документах того периода хорошо известны широкому кругу исследователей. Но обобщенной, систематизированной информации, основанной на достоверных сведениях первичных хозяйственных и финансовых документов, выраженной в денежном эквиваленте, в научный о</w:t>
      </w:r>
      <w:r>
        <w:rPr>
          <w:rFonts w:ascii="Times New Roman" w:hAnsi="Times New Roman"/>
          <w:sz w:val="28"/>
          <w:szCs w:val="28"/>
        </w:rPr>
        <w:t>борот до сих пор не введено. И хотя нет оснований говорить о том, что особенности материально-технического обеспечения этого масштабного мероприятия международного уровня преднамеренно замалчиваются, они, по разным причинам, мало изучены.</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Кроме известны</w:t>
      </w:r>
      <w:r>
        <w:rPr>
          <w:rFonts w:ascii="Times New Roman" w:hAnsi="Times New Roman"/>
          <w:sz w:val="28"/>
          <w:szCs w:val="28"/>
        </w:rPr>
        <w:t>х трудностей работы с документами ограниченного доступа, исследователь этого направления сталкивается на каждом шагу с парадоксами организации и функционирования советского народного хозяйства, ориентированного на достижение положительного результата «любо</w:t>
      </w:r>
      <w:r>
        <w:rPr>
          <w:rFonts w:ascii="Times New Roman" w:hAnsi="Times New Roman"/>
          <w:sz w:val="28"/>
          <w:szCs w:val="28"/>
        </w:rPr>
        <w:t>й ценой»,  в том числе в ущерб таким «формальностям», как объективные законы экономики и права. В условиях абсолютной монополии власти, скрепленной мощной идеологией, номенклотура - «избранный» круг должностных лиц, получает возможность безнаказанно действ</w:t>
      </w:r>
      <w:r>
        <w:rPr>
          <w:rFonts w:ascii="Times New Roman" w:hAnsi="Times New Roman"/>
          <w:sz w:val="28"/>
          <w:szCs w:val="28"/>
        </w:rPr>
        <w:t>овать «по своему усмотрению, исходя из целесообразности и сложившихся обстоятельств». Критерием для принятия решений в таких случаях, служить личное субъективное мнение того или иного начальника, ориентированное на «интересы дела», зачастую не правильно по</w:t>
      </w:r>
      <w:r>
        <w:rPr>
          <w:rFonts w:ascii="Times New Roman" w:hAnsi="Times New Roman"/>
          <w:sz w:val="28"/>
          <w:szCs w:val="28"/>
        </w:rPr>
        <w:t>нятые и, как правило, сопровождающиеся различными злоупотреблениями. Оценить законность таких решений, спустя многие десятилетия, бывает не просто. Постараемся сохранить объективность, ориентируясь, исключительно, на традиционное право и общепринятые нормы</w:t>
      </w:r>
      <w:r>
        <w:rPr>
          <w:rFonts w:ascii="Times New Roman" w:hAnsi="Times New Roman"/>
          <w:sz w:val="28"/>
          <w:szCs w:val="28"/>
        </w:rPr>
        <w:t xml:space="preserve"> осуществления  хозяйственных операций, основополагающие принципы которых не изменились. Как и прежде, законность любой хозяйственной операции обеспечивается, прежде всего, ее документальным оформлением и своевременным  бухгалтерским учетом. Любое </w:t>
      </w:r>
      <w:r>
        <w:rPr>
          <w:rFonts w:ascii="Times New Roman" w:hAnsi="Times New Roman"/>
          <w:sz w:val="28"/>
          <w:szCs w:val="28"/>
        </w:rPr>
        <w:lastRenderedPageBreak/>
        <w:t>сокрытие</w:t>
      </w:r>
      <w:r>
        <w:rPr>
          <w:rFonts w:ascii="Times New Roman" w:hAnsi="Times New Roman"/>
          <w:sz w:val="28"/>
          <w:szCs w:val="28"/>
        </w:rPr>
        <w:t xml:space="preserve"> операции от документального оформления или учета дает все основания для сомнения в ее законности.  </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Итак вернемся в январь 1945 года.... Особая важность предстоящей в Крыму встречи «большой тройки» и жесткий лимит времени на ее подготовку вынуждали сове</w:t>
      </w:r>
      <w:r>
        <w:rPr>
          <w:rFonts w:ascii="Times New Roman" w:hAnsi="Times New Roman"/>
          <w:sz w:val="28"/>
          <w:szCs w:val="28"/>
        </w:rPr>
        <w:t>тское руководство вести работы быстро и без лишних «формальностей». Контроль за ходом этих работ был поручен самой грозной и авторитетной из всех имевшихся тогда государственных структур — НКВД СССР, что  должно было стать гарантией от всех нарушений и мал</w:t>
      </w:r>
      <w:r>
        <w:rPr>
          <w:rFonts w:ascii="Times New Roman" w:hAnsi="Times New Roman"/>
          <w:sz w:val="28"/>
          <w:szCs w:val="28"/>
        </w:rPr>
        <w:t>ейших злоупотреблений. Однако «коммунистический» принцип обеспечения конференции - «по-потребности», без действенного учета и строгого нормирования, продиктованный стремлением добиться ошеломительного успеха, создавал благодатную почву для разного рода пра</w:t>
      </w:r>
      <w:r>
        <w:rPr>
          <w:rFonts w:ascii="Times New Roman" w:hAnsi="Times New Roman"/>
          <w:sz w:val="28"/>
          <w:szCs w:val="28"/>
        </w:rPr>
        <w:t xml:space="preserve">вонарушений, исключить которые в полной мере, как показывает история, не удалось даже  НКВД - контролируя всех, сама надзорная структура оставалась вне контроля.  </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Приказ № 0028 от 08.01.1945 года НКВД СССР «О специальных мероприятиях в Крыму», не содер</w:t>
      </w:r>
      <w:r>
        <w:rPr>
          <w:rFonts w:ascii="Times New Roman" w:hAnsi="Times New Roman"/>
          <w:sz w:val="28"/>
          <w:szCs w:val="28"/>
        </w:rPr>
        <w:t xml:space="preserve">жит, как это ни странно, абсолютно никаких ссылок на смету расходов государственного бюджета, в части финансирования затрат Крымской конференции. Подготовка встречи велась преимущественно за счет прямых поставок товарно-материальных ценносте, выраженных в </w:t>
      </w:r>
      <w:r>
        <w:rPr>
          <w:rFonts w:ascii="Times New Roman" w:hAnsi="Times New Roman"/>
          <w:sz w:val="28"/>
          <w:szCs w:val="28"/>
        </w:rPr>
        <w:t>натуральных показателях — кг, литры, метры, штуки и тд., минуя их финансовый учет в денежном эквиваленте. Наименование и количество отдельных, наиболее важных и дефицитных материалов, указаны конкретно. Остальные поставки, производились на усмотрение уполн</w:t>
      </w:r>
      <w:r>
        <w:rPr>
          <w:rFonts w:ascii="Times New Roman" w:hAnsi="Times New Roman"/>
          <w:sz w:val="28"/>
          <w:szCs w:val="28"/>
        </w:rPr>
        <w:t>омоченных должностных лиц, по-принципу - «выделить потребное количество материалов» и «создать необходимое количество запасов». О конкретных суммах финансирования предстоящих мероприятий, речь в приказе идет, не считая указаний по тарификации труда квалифи</w:t>
      </w:r>
      <w:r>
        <w:rPr>
          <w:rFonts w:ascii="Times New Roman" w:hAnsi="Times New Roman"/>
          <w:sz w:val="28"/>
          <w:szCs w:val="28"/>
        </w:rPr>
        <w:t>цированных рабочих, лишь однажды,- «выдать  в  распоряжение тов. Круглова 500 000 рублей». Целевое назначение этой суммы не прописано, но можно предположить, что  выдана она заместителю наркома внутренних дел генерал-полковнику С. Н. Круглову, руководившем</w:t>
      </w:r>
      <w:r>
        <w:rPr>
          <w:rFonts w:ascii="Times New Roman" w:hAnsi="Times New Roman"/>
          <w:sz w:val="28"/>
          <w:szCs w:val="28"/>
        </w:rPr>
        <w:t xml:space="preserve">у всеми работами в Крыму, </w:t>
      </w:r>
      <w:r>
        <w:rPr>
          <w:rFonts w:ascii="Times New Roman" w:hAnsi="Times New Roman"/>
          <w:sz w:val="28"/>
          <w:szCs w:val="28"/>
        </w:rPr>
        <w:lastRenderedPageBreak/>
        <w:t>как исключение, для оперативного решения  неожиданно возникающих на месте проблем - предусмотреть которые заранее не представлялось возможным.  Одна из таких проблем, ставшая позже причиной одной из сомнительных хозяйственных опер</w:t>
      </w:r>
      <w:r>
        <w:rPr>
          <w:rFonts w:ascii="Times New Roman" w:hAnsi="Times New Roman"/>
          <w:sz w:val="28"/>
          <w:szCs w:val="28"/>
        </w:rPr>
        <w:t>аций периода Крымской конференции, оставила свой след в  документальных материалах Крымского архива.</w:t>
      </w:r>
    </w:p>
    <w:p w:rsidR="004D0AC9" w:rsidRDefault="0024764B">
      <w:pPr>
        <w:pStyle w:val="Standard"/>
        <w:spacing w:line="360" w:lineRule="auto"/>
        <w:jc w:val="both"/>
      </w:pPr>
      <w:r>
        <w:rPr>
          <w:rFonts w:ascii="Times New Roman" w:hAnsi="Times New Roman"/>
          <w:sz w:val="28"/>
          <w:szCs w:val="28"/>
        </w:rPr>
        <w:t xml:space="preserve">    В самый разгар подготовительных работ, 16 января 1945 года, заместитель начальника 4-го Строительного управления  ГУ аэродромного строительства НКВД СС</w:t>
      </w:r>
      <w:r>
        <w:rPr>
          <w:rFonts w:ascii="Times New Roman" w:hAnsi="Times New Roman"/>
          <w:sz w:val="28"/>
          <w:szCs w:val="28"/>
        </w:rPr>
        <w:t>СР Е.Р. Явелов обратился в Управление курортов ЮБК  с письменным требованием, цитата - «... для неотложно-срочных нужд прошу отпустить перетрума» (</w:t>
      </w:r>
      <w:r>
        <w:rPr>
          <w:rFonts w:ascii="Times New Roman" w:hAnsi="Times New Roman"/>
          <w:b/>
          <w:bCs/>
          <w:i/>
          <w:iCs/>
          <w:sz w:val="28"/>
          <w:szCs w:val="28"/>
        </w:rPr>
        <w:t xml:space="preserve">пиретрум </w:t>
      </w:r>
      <w:r>
        <w:rPr>
          <w:rFonts w:ascii="Times New Roman" w:hAnsi="Times New Roman"/>
          <w:sz w:val="28"/>
          <w:szCs w:val="28"/>
        </w:rPr>
        <w:t>— порошок из далматской ромашки, эффективное средство против насекомых, включая паразитов животных и</w:t>
      </w:r>
      <w:r>
        <w:rPr>
          <w:rFonts w:ascii="Times New Roman" w:hAnsi="Times New Roman"/>
          <w:sz w:val="28"/>
          <w:szCs w:val="28"/>
        </w:rPr>
        <w:t xml:space="preserve"> человека, прежде всего переносчиков тифа- авт.) Требование было незамедлительно принято к исполнению о чем свидетельствует распорядительная надпись главного врача  Управления курортов, - «зав. аптечным складом отпустите два пакета по 20 кг. Овсянников, 16</w:t>
      </w:r>
      <w:r>
        <w:rPr>
          <w:rFonts w:ascii="Times New Roman" w:hAnsi="Times New Roman"/>
          <w:sz w:val="28"/>
          <w:szCs w:val="28"/>
        </w:rPr>
        <w:t>.01.45 г.».  В тот же день,  аптека отпустила комендатуре НКВД,  через Явелова, 40 кг. пиретрума. Через десять дней,   26 января был выставлен счет за отпущенный товар, - «следует с Вас...3078-24... сумму просим перечислить на расчетный счет Управления кур</w:t>
      </w:r>
      <w:r>
        <w:rPr>
          <w:rFonts w:ascii="Times New Roman" w:hAnsi="Times New Roman"/>
          <w:sz w:val="28"/>
          <w:szCs w:val="28"/>
        </w:rPr>
        <w:t xml:space="preserve">ортов и эвакогоспиталей ЮБК...». Однако в установленный Законом срок оплаты не последовало. Обеспокоенный задержкой ст. бухгалтер аптеки, обратился 10 февраля 1945 года за содействием в Управление курортов ЮБК. В своей докладной записке он сообщал, - «... </w:t>
      </w:r>
      <w:r>
        <w:rPr>
          <w:rFonts w:ascii="Times New Roman" w:hAnsi="Times New Roman"/>
          <w:sz w:val="28"/>
          <w:szCs w:val="28"/>
        </w:rPr>
        <w:t>мною был выписан счет и я пошел в ялтинское НКВД, что бы узнать кому следует его предъявить для оплаты. Начальник ялтинского НКВД  мне сказал, что по этому поводу он ничего не знает и направил меня в НКГБ к генералу Какучая. Секретарь генерала, выслушав ме</w:t>
      </w:r>
      <w:r>
        <w:rPr>
          <w:rFonts w:ascii="Times New Roman" w:hAnsi="Times New Roman"/>
          <w:sz w:val="28"/>
          <w:szCs w:val="28"/>
        </w:rPr>
        <w:t>ня и просмотрев предъявленные мною документы попросил оставить требование, накладную и счет для того чтобы выяснить кто и для чего получал означенный товар, а затем дать распоряжение о его оплате. После неоднократных посещений НКГБ (я ходил почти ежедневно</w:t>
      </w:r>
      <w:r>
        <w:rPr>
          <w:rFonts w:ascii="Times New Roman" w:hAnsi="Times New Roman"/>
          <w:sz w:val="28"/>
          <w:szCs w:val="28"/>
        </w:rPr>
        <w:t xml:space="preserve"> в течении 2-х недель) секретарь генерала Какучая 8 февраля возвратил мне все бумаги и сообщил, что выяснить кто и зачем получил пиретрум ему не удалось </w:t>
      </w:r>
      <w:r>
        <w:rPr>
          <w:rFonts w:ascii="Times New Roman" w:hAnsi="Times New Roman"/>
          <w:sz w:val="28"/>
          <w:szCs w:val="28"/>
        </w:rPr>
        <w:lastRenderedPageBreak/>
        <w:t>так как генерал по этому делу ничего не знает, как и не знает лицо получившее товар. Прошу Управление к</w:t>
      </w:r>
      <w:r>
        <w:rPr>
          <w:rFonts w:ascii="Times New Roman" w:hAnsi="Times New Roman"/>
          <w:sz w:val="28"/>
          <w:szCs w:val="28"/>
        </w:rPr>
        <w:t xml:space="preserve">урортов и эвакогоспиталей ЮБК предпринять от себя шаги к получению денег по выписанному мною счету. Считаю необходимым сообщить, что лицо получившее пиретрум сказало, что получает его для Ливадии, а секретарь генерала Какучая посоветовал обратиться к тов. </w:t>
      </w:r>
      <w:r>
        <w:rPr>
          <w:rFonts w:ascii="Times New Roman" w:hAnsi="Times New Roman"/>
          <w:sz w:val="28"/>
          <w:szCs w:val="28"/>
        </w:rPr>
        <w:t>Мусатову». Письмо начальнику ялтинского отдела НКГБ подполковнику Мусатову с просьбой «...навести справку по этому делу и дать распоряжение об оплате счета» было направлено 12 февраля 1945 года.  Ответа из ялтинского отдела НКГБ не последовало.</w:t>
      </w:r>
    </w:p>
    <w:p w:rsidR="004D0AC9" w:rsidRDefault="0024764B">
      <w:pPr>
        <w:pStyle w:val="Standard"/>
        <w:spacing w:line="360" w:lineRule="auto"/>
        <w:jc w:val="both"/>
      </w:pPr>
      <w:r>
        <w:rPr>
          <w:rFonts w:ascii="Times New Roman" w:hAnsi="Times New Roman"/>
          <w:sz w:val="28"/>
          <w:szCs w:val="28"/>
        </w:rPr>
        <w:t xml:space="preserve">   После дл</w:t>
      </w:r>
      <w:r>
        <w:rPr>
          <w:rFonts w:ascii="Times New Roman" w:hAnsi="Times New Roman"/>
          <w:sz w:val="28"/>
          <w:szCs w:val="28"/>
        </w:rPr>
        <w:t>ительных и безуспешных попыток решить вопрос самостоятельно,  ст. бухгалтер аптеки, 1 сентября 1945 года, в очередной раз, проинформировал о сложившейся ситуации свое вышестоящее руководство, - «...согласно приказа Управления курортов ЮБК всю имеющуюся деб</w:t>
      </w:r>
      <w:r>
        <w:rPr>
          <w:rFonts w:ascii="Times New Roman" w:hAnsi="Times New Roman"/>
          <w:sz w:val="28"/>
          <w:szCs w:val="28"/>
        </w:rPr>
        <w:t>иторскую задолженность (долги получателей товаров и услуг — авт.) сроком свыше 3-х месяцев необходимо передать в юридическую часть Управления курортов ЮБК для направления дела в суд. В аптеке Управления курортов ЮБК имеется задолженность комендатуры НКВД н</w:t>
      </w:r>
      <w:r>
        <w:rPr>
          <w:rFonts w:ascii="Times New Roman" w:hAnsi="Times New Roman"/>
          <w:sz w:val="28"/>
          <w:szCs w:val="28"/>
        </w:rPr>
        <w:t>а сумму 3078 руб. 24 коп. Мне удалось отыскать лицо получившее у нас пиретрум — это тов. Явелов, в настоящее время   работающий   в   Ливадии   начальником   1 - го Строительного  района  5 Стройуправления  ГУАС НКВД СССР.  По его заявлению сейчас он работ</w:t>
      </w:r>
      <w:r>
        <w:rPr>
          <w:rFonts w:ascii="Times New Roman" w:hAnsi="Times New Roman"/>
          <w:sz w:val="28"/>
          <w:szCs w:val="28"/>
        </w:rPr>
        <w:t>ает совершенно на другом объекте и никаких сумм для оплаты нашего счета не имеет. По его совету я обратился к начальнику Курортного Управления НКВД тов. Горскому, который мне сказал, что оплачивать подобные счета не имеет возможности и посоветовал обратить</w:t>
      </w:r>
      <w:r>
        <w:rPr>
          <w:rFonts w:ascii="Times New Roman" w:hAnsi="Times New Roman"/>
          <w:sz w:val="28"/>
          <w:szCs w:val="28"/>
        </w:rPr>
        <w:t>ся в Москву, к заместителю наркома НКВД СССР тов. Круглову.  Прилагая при сем всю переписку по этому делу, прошу от имени Управления курортов ЮБК послать счет на отпущенный пиретрум по указанному адресу для его оплаты».  Отдадим должное смелости ст. бухгал</w:t>
      </w:r>
      <w:r>
        <w:rPr>
          <w:rFonts w:ascii="Times New Roman" w:hAnsi="Times New Roman"/>
          <w:sz w:val="28"/>
          <w:szCs w:val="28"/>
        </w:rPr>
        <w:t>тера аптеки и руководителя Управления курортов ЮБК, которые не взирая на серьезный личный риск, проявили редкую принципиальность, выполняя свой служебный долг.  7 сентября 1945 года, в Москву, на имя заместителя наркома НКВД СССР С.Н. Круглова, ушло письмо</w:t>
      </w:r>
      <w:r>
        <w:rPr>
          <w:rFonts w:ascii="Times New Roman" w:hAnsi="Times New Roman"/>
          <w:sz w:val="28"/>
          <w:szCs w:val="28"/>
        </w:rPr>
        <w:t xml:space="preserve">  </w:t>
      </w:r>
      <w:r>
        <w:rPr>
          <w:rFonts w:ascii="Times New Roman" w:hAnsi="Times New Roman"/>
          <w:sz w:val="28"/>
          <w:szCs w:val="28"/>
        </w:rPr>
        <w:lastRenderedPageBreak/>
        <w:t xml:space="preserve">за подписью директора Управления курортов ЮБК К. А. Галенина, в котором подробно была изложена суть дела, </w:t>
      </w:r>
      <w:r>
        <w:rPr>
          <w:rFonts w:ascii="Times New Roman" w:hAnsi="Times New Roman"/>
          <w:i/>
          <w:iCs/>
          <w:sz w:val="28"/>
          <w:szCs w:val="28"/>
        </w:rPr>
        <w:t xml:space="preserve">цитата </w:t>
      </w:r>
      <w:r>
        <w:rPr>
          <w:rFonts w:ascii="Times New Roman" w:hAnsi="Times New Roman"/>
          <w:sz w:val="28"/>
          <w:szCs w:val="28"/>
        </w:rPr>
        <w:t>- «... в январе месяце текущего года, перед Ялтинской конференцией, нашей аптекой был отпущен комендатуре НКВД пиретрум ... получателем, кото</w:t>
      </w:r>
      <w:r>
        <w:rPr>
          <w:rFonts w:ascii="Times New Roman" w:hAnsi="Times New Roman"/>
          <w:sz w:val="28"/>
          <w:szCs w:val="28"/>
        </w:rPr>
        <w:t>рого является, как сейчас выяснилось, зам. начальника 4 Управления ГУАС НКВД СССР тов. Явелов, ныне работающий в Ливадии начальником 1-го Стройрайона 5 СУ ГУАС НКВД СССР. Ввиду того,что тов. Явелов в настоящее время работает совершенно на другом объекте, с</w:t>
      </w:r>
      <w:r>
        <w:rPr>
          <w:rFonts w:ascii="Times New Roman" w:hAnsi="Times New Roman"/>
          <w:sz w:val="28"/>
          <w:szCs w:val="28"/>
        </w:rPr>
        <w:t>редств на оплату счета нашей аптеки не имеет. Поэтому ... просим дать распоряжение об его оплате».  Документов, свидетельствующих о реагировании на это обращение в деле нет.</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Есть все основания полагать, что история с пиретрумом, лишь одна из проблем, «</w:t>
      </w:r>
      <w:r>
        <w:rPr>
          <w:rFonts w:ascii="Times New Roman" w:hAnsi="Times New Roman"/>
          <w:sz w:val="28"/>
          <w:szCs w:val="28"/>
        </w:rPr>
        <w:t>решенных» НКВД на месте таким оригинальным способом. К примеру, в годовом отчете Стройконторы того же Управления курортов ЮБК за 1945 год, имеется свидетельство еще об одной аналогичной истории, повлекшей ущерб по вине НКВД - «...503 руб. 01 коп. за матери</w:t>
      </w:r>
      <w:r>
        <w:rPr>
          <w:rFonts w:ascii="Times New Roman" w:hAnsi="Times New Roman"/>
          <w:sz w:val="28"/>
          <w:szCs w:val="28"/>
        </w:rPr>
        <w:t>алы … взяты на ремонт помещений для Крымской конференции, с закрытием конференции отдел НКВД, получивший материал, из Ялты выбыл».</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В целом  по Управлению курортов ЮБК за 1945 год был «отмечен большой рост дебеторской задолженности, часть которой возникл</w:t>
      </w:r>
      <w:r>
        <w:rPr>
          <w:rFonts w:ascii="Times New Roman" w:hAnsi="Times New Roman"/>
          <w:sz w:val="28"/>
          <w:szCs w:val="28"/>
        </w:rPr>
        <w:t>а по независящим от Курупра причинам. Сюда следует причислить задолженность за органами министерства Госбезопасности на сумму 60 600 рублей (более 10% от суммы ассигнованной лично С.Н. Круглову — авт.) за имущество и товарно-материальные ценности, взятые в</w:t>
      </w:r>
      <w:r>
        <w:rPr>
          <w:rFonts w:ascii="Times New Roman" w:hAnsi="Times New Roman"/>
          <w:sz w:val="28"/>
          <w:szCs w:val="28"/>
        </w:rPr>
        <w:t xml:space="preserve"> период Крымской конференции и не возвращенные после ее окончания». Понятно, что судебной перспективы дела против НКВД не имели. Безнадежная дебиторская задолженность, возникшая в результате бесцеремонного вмешательства «органов» в хозяйственную деятельнос</w:t>
      </w:r>
      <w:r>
        <w:rPr>
          <w:rFonts w:ascii="Times New Roman" w:hAnsi="Times New Roman"/>
          <w:sz w:val="28"/>
          <w:szCs w:val="28"/>
        </w:rPr>
        <w:t>ть Управления курортов ЮБК, в итоге обернулась прямыми убытками и  легла дополнительным  бременем  на плечи рядовых работников курорта — простых советских граждан, и без того доведенных до крайней нищеты всевозможными  изощренными государственными поборами</w:t>
      </w:r>
      <w:r>
        <w:rPr>
          <w:rFonts w:ascii="Times New Roman" w:hAnsi="Times New Roman"/>
          <w:sz w:val="28"/>
          <w:szCs w:val="28"/>
        </w:rPr>
        <w:t xml:space="preserve"> и повинностями. </w:t>
      </w:r>
      <w:r>
        <w:rPr>
          <w:rFonts w:ascii="Times New Roman" w:hAnsi="Times New Roman"/>
          <w:sz w:val="28"/>
          <w:szCs w:val="28"/>
        </w:rPr>
        <w:lastRenderedPageBreak/>
        <w:t xml:space="preserve">Представленный  материал иллюстрирует оборотную сторону «великих побед» и обращает исследователей к еще одной малоизученной странице Крымской конференции -  ее медицинскому и санитарному обеспечению.  </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Ст. научный сотрудник научно-экспозиционного отдела музея</w:t>
      </w:r>
    </w:p>
    <w:p w:rsidR="004D0AC9" w:rsidRDefault="0024764B">
      <w:pPr>
        <w:pStyle w:val="Standard"/>
        <w:spacing w:line="360" w:lineRule="auto"/>
        <w:jc w:val="both"/>
        <w:rPr>
          <w:rFonts w:ascii="Times New Roman" w:hAnsi="Times New Roman"/>
          <w:sz w:val="28"/>
          <w:szCs w:val="28"/>
        </w:rPr>
      </w:pPr>
      <w:r>
        <w:rPr>
          <w:rFonts w:ascii="Times New Roman" w:hAnsi="Times New Roman"/>
          <w:sz w:val="28"/>
          <w:szCs w:val="28"/>
        </w:rPr>
        <w:t xml:space="preserve">                   </w:t>
      </w:r>
    </w:p>
    <w:p w:rsidR="004D0AC9" w:rsidRDefault="0024764B">
      <w:pPr>
        <w:pStyle w:val="Standard"/>
        <w:spacing w:line="360" w:lineRule="auto"/>
        <w:jc w:val="center"/>
        <w:rPr>
          <w:rFonts w:ascii="Times New Roman" w:hAnsi="Times New Roman"/>
          <w:sz w:val="28"/>
          <w:szCs w:val="28"/>
        </w:rPr>
      </w:pPr>
      <w:r>
        <w:rPr>
          <w:rFonts w:ascii="Times New Roman" w:hAnsi="Times New Roman"/>
          <w:sz w:val="28"/>
          <w:szCs w:val="28"/>
        </w:rPr>
        <w:t xml:space="preserve">                                                                                                          Плужник П.Б.</w:t>
      </w:r>
    </w:p>
    <w:p w:rsidR="004D0AC9" w:rsidRDefault="004D0AC9">
      <w:pPr>
        <w:pStyle w:val="Standard"/>
        <w:spacing w:line="360" w:lineRule="auto"/>
        <w:jc w:val="center"/>
        <w:rPr>
          <w:rFonts w:ascii="Times New Roman" w:hAnsi="Times New Roman"/>
          <w:sz w:val="28"/>
          <w:szCs w:val="28"/>
        </w:rPr>
      </w:pPr>
    </w:p>
    <w:p w:rsidR="004D0AC9" w:rsidRDefault="0024764B">
      <w:pPr>
        <w:pStyle w:val="Standard"/>
        <w:spacing w:line="36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spacing w:line="360" w:lineRule="auto"/>
        <w:jc w:val="center"/>
        <w:rPr>
          <w:rFonts w:ascii="Times New Roman" w:hAnsi="Times New Roman"/>
          <w:sz w:val="28"/>
          <w:szCs w:val="28"/>
        </w:rPr>
      </w:pPr>
    </w:p>
    <w:p w:rsidR="004D0AC9" w:rsidRDefault="0024764B">
      <w:pPr>
        <w:pStyle w:val="Standard"/>
        <w:spacing w:line="360" w:lineRule="auto"/>
        <w:ind w:left="720" w:hanging="360"/>
        <w:jc w:val="center"/>
        <w:rPr>
          <w:rFonts w:ascii="Times New Roman" w:hAnsi="Times New Roman"/>
          <w:sz w:val="28"/>
          <w:szCs w:val="28"/>
        </w:rPr>
      </w:pPr>
      <w:r>
        <w:rPr>
          <w:rFonts w:ascii="Times New Roman" w:hAnsi="Times New Roman"/>
          <w:sz w:val="28"/>
          <w:szCs w:val="28"/>
        </w:rPr>
        <w:t>Министерство культуры  Республики Крым</w:t>
      </w:r>
    </w:p>
    <w:p w:rsidR="004D0AC9" w:rsidRDefault="0024764B">
      <w:pPr>
        <w:pStyle w:val="Standard"/>
        <w:spacing w:line="360" w:lineRule="auto"/>
        <w:ind w:left="360" w:hanging="360"/>
        <w:jc w:val="center"/>
        <w:rPr>
          <w:rFonts w:ascii="Times New Roman" w:hAnsi="Times New Roman"/>
          <w:sz w:val="28"/>
          <w:szCs w:val="28"/>
        </w:rPr>
      </w:pPr>
      <w:r>
        <w:rPr>
          <w:rFonts w:ascii="Times New Roman" w:hAnsi="Times New Roman"/>
          <w:sz w:val="28"/>
          <w:szCs w:val="28"/>
        </w:rPr>
        <w:t>ГБУК РК «Ливадийский дворец-музей»</w:t>
      </w: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spacing w:line="360" w:lineRule="auto"/>
        <w:jc w:val="center"/>
        <w:rPr>
          <w:rFonts w:ascii="Times New Roman" w:hAnsi="Times New Roman"/>
          <w:sz w:val="28"/>
          <w:szCs w:val="28"/>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spacing w:line="360" w:lineRule="auto"/>
        <w:ind w:left="360" w:hanging="360"/>
        <w:jc w:val="center"/>
        <w:rPr>
          <w:rFonts w:ascii="Times New Roman" w:hAnsi="Times New Roman"/>
        </w:rPr>
      </w:pPr>
    </w:p>
    <w:p w:rsidR="004D0AC9" w:rsidRDefault="0024764B">
      <w:pPr>
        <w:pStyle w:val="Standard"/>
        <w:spacing w:line="360" w:lineRule="auto"/>
        <w:ind w:left="360" w:hanging="360"/>
        <w:jc w:val="center"/>
        <w:rPr>
          <w:rFonts w:ascii="Times New Roman" w:hAnsi="Times New Roman"/>
          <w:sz w:val="28"/>
          <w:szCs w:val="28"/>
        </w:rPr>
      </w:pPr>
      <w:r>
        <w:rPr>
          <w:rFonts w:ascii="Times New Roman" w:hAnsi="Times New Roman"/>
          <w:sz w:val="28"/>
          <w:szCs w:val="28"/>
        </w:rPr>
        <w:t>Т Е К С Т   П У Б Л И К А Ц И И</w:t>
      </w:r>
    </w:p>
    <w:p w:rsidR="004D0AC9" w:rsidRDefault="004D0AC9">
      <w:pPr>
        <w:pStyle w:val="Standard"/>
        <w:spacing w:line="360" w:lineRule="auto"/>
        <w:ind w:left="360" w:hanging="360"/>
        <w:jc w:val="center"/>
        <w:rPr>
          <w:rFonts w:ascii="Times New Roman" w:hAnsi="Times New Roman"/>
          <w:sz w:val="28"/>
          <w:szCs w:val="28"/>
        </w:rPr>
      </w:pPr>
    </w:p>
    <w:p w:rsidR="004D0AC9" w:rsidRDefault="0024764B">
      <w:pPr>
        <w:pStyle w:val="Standard"/>
        <w:jc w:val="center"/>
        <w:rPr>
          <w:rFonts w:ascii="Times New Roman" w:hAnsi="Times New Roman"/>
          <w:sz w:val="28"/>
        </w:rPr>
      </w:pPr>
      <w:r>
        <w:rPr>
          <w:rFonts w:ascii="Times New Roman" w:hAnsi="Times New Roman"/>
          <w:sz w:val="28"/>
        </w:rPr>
        <w:t>для официального сайта ГБУК РК ЛДМ</w:t>
      </w:r>
    </w:p>
    <w:p w:rsidR="004D0AC9" w:rsidRDefault="004D0AC9">
      <w:pPr>
        <w:pStyle w:val="Standard"/>
        <w:jc w:val="center"/>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24764B">
      <w:pPr>
        <w:pStyle w:val="Standard"/>
        <w:tabs>
          <w:tab w:val="left" w:pos="360"/>
          <w:tab w:val="left" w:pos="1950"/>
        </w:tabs>
        <w:spacing w:line="360" w:lineRule="auto"/>
        <w:ind w:left="360" w:hanging="360"/>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«Неучтенные расходы Крымской конференции»</w:t>
      </w:r>
    </w:p>
    <w:p w:rsidR="004D0AC9" w:rsidRDefault="004D0AC9">
      <w:pPr>
        <w:pStyle w:val="Standard"/>
        <w:rPr>
          <w:rFonts w:ascii="Times New Roman" w:hAnsi="Times New Roman"/>
        </w:rPr>
      </w:pPr>
    </w:p>
    <w:p w:rsidR="004D0AC9" w:rsidRDefault="004D0AC9">
      <w:pPr>
        <w:pStyle w:val="Standard"/>
        <w:tabs>
          <w:tab w:val="left" w:pos="1950"/>
        </w:tabs>
        <w:spacing w:line="360" w:lineRule="auto"/>
        <w:jc w:val="center"/>
        <w:rPr>
          <w:rFonts w:ascii="Times New Roman" w:hAnsi="Times New Roman"/>
          <w:b/>
          <w:bCs/>
          <w:sz w:val="28"/>
          <w:szCs w:val="28"/>
        </w:rPr>
      </w:pPr>
    </w:p>
    <w:p w:rsidR="004D0AC9" w:rsidRDefault="004D0AC9">
      <w:pPr>
        <w:pStyle w:val="Standard"/>
        <w:tabs>
          <w:tab w:val="left" w:pos="1950"/>
        </w:tabs>
        <w:spacing w:line="360" w:lineRule="auto"/>
        <w:jc w:val="center"/>
        <w:rPr>
          <w:rFonts w:ascii="Times New Roman" w:hAnsi="Times New Roman"/>
          <w:b/>
          <w:bCs/>
          <w:sz w:val="28"/>
          <w:szCs w:val="28"/>
        </w:rPr>
      </w:pPr>
    </w:p>
    <w:p w:rsidR="004D0AC9" w:rsidRDefault="004D0AC9">
      <w:pPr>
        <w:pStyle w:val="Standard"/>
        <w:tabs>
          <w:tab w:val="left" w:pos="1950"/>
        </w:tabs>
        <w:spacing w:line="360" w:lineRule="auto"/>
        <w:jc w:val="center"/>
        <w:rPr>
          <w:rFonts w:ascii="Times New Roman" w:hAnsi="Times New Roman"/>
          <w:b/>
          <w:bCs/>
          <w:sz w:val="28"/>
          <w:szCs w:val="28"/>
        </w:rPr>
      </w:pPr>
    </w:p>
    <w:p w:rsidR="004D0AC9" w:rsidRDefault="004D0AC9">
      <w:pPr>
        <w:pStyle w:val="Standard"/>
        <w:tabs>
          <w:tab w:val="left" w:pos="1950"/>
        </w:tabs>
        <w:spacing w:line="360" w:lineRule="auto"/>
        <w:jc w:val="center"/>
        <w:rPr>
          <w:rFonts w:ascii="Times New Roman" w:hAnsi="Times New Roman"/>
          <w:b/>
          <w:bCs/>
          <w:sz w:val="28"/>
          <w:szCs w:val="28"/>
        </w:rPr>
      </w:pPr>
    </w:p>
    <w:p w:rsidR="004D0AC9" w:rsidRDefault="004D0AC9">
      <w:pPr>
        <w:pStyle w:val="Standard"/>
        <w:tabs>
          <w:tab w:val="left" w:pos="1950"/>
        </w:tabs>
        <w:spacing w:line="360" w:lineRule="auto"/>
        <w:jc w:val="center"/>
        <w:rPr>
          <w:rFonts w:ascii="Times New Roman" w:hAnsi="Times New Roman"/>
          <w:b/>
          <w:bCs/>
          <w:sz w:val="28"/>
          <w:szCs w:val="28"/>
        </w:rPr>
      </w:pPr>
    </w:p>
    <w:p w:rsidR="004D0AC9" w:rsidRDefault="004D0AC9">
      <w:pPr>
        <w:pStyle w:val="Standard"/>
        <w:tabs>
          <w:tab w:val="left" w:pos="1950"/>
        </w:tabs>
        <w:spacing w:line="360" w:lineRule="auto"/>
        <w:jc w:val="center"/>
        <w:rPr>
          <w:rFonts w:ascii="Times New Roman" w:hAnsi="Times New Roman"/>
        </w:rPr>
      </w:pPr>
    </w:p>
    <w:p w:rsidR="004D0AC9" w:rsidRDefault="004D0AC9">
      <w:pPr>
        <w:pStyle w:val="Standard"/>
        <w:rPr>
          <w:rFonts w:ascii="Times New Roman" w:hAnsi="Times New Roman"/>
        </w:rPr>
      </w:pPr>
    </w:p>
    <w:p w:rsidR="004D0AC9" w:rsidRDefault="0024764B">
      <w:pPr>
        <w:pStyle w:val="Standard"/>
        <w:spacing w:line="360" w:lineRule="auto"/>
        <w:ind w:left="360" w:hanging="360"/>
        <w:jc w:val="both"/>
      </w:pPr>
      <w:r>
        <w:rPr>
          <w:rFonts w:ascii="Times New Roman" w:hAnsi="Times New Roman"/>
        </w:rPr>
        <w:t xml:space="preserve">                                                                                 </w:t>
      </w:r>
      <w:r>
        <w:rPr>
          <w:rFonts w:ascii="Times New Roman" w:hAnsi="Times New Roman"/>
          <w:sz w:val="28"/>
          <w:szCs w:val="28"/>
        </w:rPr>
        <w:t>Автор: ст. научный сотрудник Плужник П.Б.</w:t>
      </w: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spacing w:line="360" w:lineRule="auto"/>
        <w:jc w:val="both"/>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4D0AC9">
      <w:pPr>
        <w:pStyle w:val="Standard"/>
        <w:rPr>
          <w:rFonts w:ascii="Times New Roman" w:hAnsi="Times New Roman"/>
        </w:rPr>
      </w:pPr>
    </w:p>
    <w:p w:rsidR="004D0AC9" w:rsidRDefault="0024764B">
      <w:pPr>
        <w:pStyle w:val="Standard"/>
        <w:spacing w:line="360" w:lineRule="auto"/>
        <w:ind w:left="360" w:hanging="360"/>
        <w:jc w:val="center"/>
      </w:pPr>
      <w:r>
        <w:rPr>
          <w:rFonts w:ascii="Times New Roman" w:hAnsi="Times New Roman"/>
          <w:sz w:val="28"/>
          <w:szCs w:val="28"/>
        </w:rPr>
        <w:t>г. Ялта  2017 год</w:t>
      </w:r>
    </w:p>
    <w:sectPr w:rsidR="004D0AC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4B" w:rsidRDefault="0024764B">
      <w:r>
        <w:separator/>
      </w:r>
    </w:p>
  </w:endnote>
  <w:endnote w:type="continuationSeparator" w:id="0">
    <w:p w:rsidR="0024764B" w:rsidRDefault="0024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4B" w:rsidRDefault="0024764B">
      <w:r>
        <w:rPr>
          <w:color w:val="000000"/>
        </w:rPr>
        <w:separator/>
      </w:r>
    </w:p>
  </w:footnote>
  <w:footnote w:type="continuationSeparator" w:id="0">
    <w:p w:rsidR="0024764B" w:rsidRDefault="0024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D0AC9"/>
    <w:rsid w:val="0024764B"/>
    <w:rsid w:val="004D0AC9"/>
    <w:rsid w:val="00F1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01FA-6031-40CF-ADDC-025A2383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2013-02-19T15:14:00Z</cp:lastPrinted>
  <dcterms:created xsi:type="dcterms:W3CDTF">2017-03-31T08:15:00Z</dcterms:created>
  <dcterms:modified xsi:type="dcterms:W3CDTF">2017-03-31T08:15:00Z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